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46D3E">
      <w:pPr>
        <w:jc w:val="center"/>
        <w:rPr>
          <w:b/>
          <w:bCs/>
          <w:sz w:val="30"/>
          <w:szCs w:val="30"/>
        </w:rPr>
      </w:pPr>
      <w:r>
        <w:rPr>
          <w:b/>
          <w:bCs/>
          <w:sz w:val="30"/>
          <w:szCs w:val="30"/>
        </w:rPr>
        <w:t xml:space="preserve">Product </w:t>
      </w:r>
      <w:r>
        <w:rPr>
          <w:rFonts w:hint="eastAsia"/>
          <w:b/>
          <w:bCs/>
          <w:sz w:val="30"/>
          <w:szCs w:val="30"/>
        </w:rPr>
        <w:t>M</w:t>
      </w:r>
      <w:r>
        <w:rPr>
          <w:b/>
          <w:bCs/>
          <w:sz w:val="30"/>
          <w:szCs w:val="30"/>
        </w:rPr>
        <w:t>anual</w:t>
      </w:r>
    </w:p>
    <w:p w14:paraId="316FAE9A">
      <w:pPr>
        <w:wordWrap w:val="0"/>
        <w:jc w:val="center"/>
        <w:rPr>
          <w:rFonts w:hint="eastAsia"/>
          <w:b/>
          <w:bCs/>
          <w:sz w:val="30"/>
          <w:szCs w:val="30"/>
        </w:rPr>
      </w:pPr>
      <w:r>
        <w:rPr>
          <w:b/>
          <w:bCs/>
          <w:sz w:val="30"/>
          <w:szCs w:val="30"/>
        </w:rPr>
        <w:t>产品</w:t>
      </w:r>
      <w:r>
        <w:rPr>
          <w:rFonts w:hint="eastAsia"/>
          <w:b/>
          <w:bCs/>
          <w:sz w:val="30"/>
          <w:szCs w:val="30"/>
        </w:rPr>
        <w:t>说明书</w:t>
      </w:r>
    </w:p>
    <w:p w14:paraId="577408F9">
      <w:pPr>
        <w:pStyle w:val="5"/>
        <w:bidi w:val="0"/>
      </w:pPr>
    </w:p>
    <w:p w14:paraId="7D5E4E3D">
      <w:pPr>
        <w:pStyle w:val="4"/>
        <w:bidi w:val="0"/>
        <w:rPr>
          <w:rFonts w:hint="eastAsia"/>
          <w:lang w:val="en-US" w:eastAsia="zh-CN"/>
        </w:rPr>
      </w:pPr>
      <w:r>
        <w:rPr>
          <w:rFonts w:hint="eastAsia"/>
          <w:lang w:val="en-US" w:eastAsia="zh-CN"/>
        </w:rPr>
        <w:t>产品货号</w:t>
      </w:r>
    </w:p>
    <w:p w14:paraId="72E9AF9B">
      <w:pPr>
        <w:pStyle w:val="5"/>
        <w:bidi w:val="0"/>
        <w:rPr>
          <w:rFonts w:hint="eastAsia"/>
          <w:lang w:val="en-US" w:eastAsia="zh-CN"/>
        </w:rPr>
      </w:pPr>
      <w:r>
        <w:rPr>
          <w:rFonts w:hint="eastAsia"/>
          <w:lang w:val="en-US" w:eastAsia="zh-CN"/>
        </w:rPr>
        <w:t>PR01059</w:t>
      </w:r>
    </w:p>
    <w:p w14:paraId="04EC2F05">
      <w:pPr>
        <w:pStyle w:val="4"/>
        <w:bidi w:val="0"/>
      </w:pPr>
      <w:r>
        <w:t>产品介绍</w:t>
      </w:r>
    </w:p>
    <w:p w14:paraId="03D69C4E">
      <w:pPr>
        <w:pStyle w:val="5"/>
        <w:bidi w:val="0"/>
        <w:rPr>
          <w:rFonts w:hint="default"/>
          <w:lang w:val="en-US" w:eastAsia="zh-CN"/>
        </w:rPr>
      </w:pPr>
      <w:r>
        <w:rPr>
          <w:rFonts w:hint="eastAsia"/>
        </w:rPr>
        <w:t>真核基因表达调控研究常用的方法是进行报告基因的检测，生物发光法又是报告基因检测最常用的有效手段。萤光素酶能催化底物萤光素的转化并发射出光子。该产品为萤火虫萤光素酶报告基因在哺乳动物细胞中的表达提供快速、灵敏、稳定的检测方法</w:t>
      </w:r>
      <w:r>
        <w:rPr>
          <w:rFonts w:hint="eastAsia"/>
          <w:lang w:eastAsia="zh-CN"/>
        </w:rPr>
        <w:t>，</w:t>
      </w:r>
      <w:r>
        <w:rPr>
          <w:rFonts w:hint="eastAsia"/>
        </w:rPr>
        <w:t>萤火虫萤光素酶 分子量约 61 kDa</w:t>
      </w:r>
      <w:r>
        <w:t xml:space="preserve"> </w:t>
      </w:r>
      <w:r>
        <w:rPr>
          <w:rFonts w:hint="eastAsia"/>
        </w:rPr>
        <w:t>的蛋白，在 ATP、Mg2+</w:t>
      </w:r>
      <w:r>
        <w:rPr>
          <w:rFonts w:hint="eastAsia"/>
          <w:lang w:val="en-US" w:eastAsia="zh-CN"/>
        </w:rPr>
        <w:t xml:space="preserve"> </w:t>
      </w:r>
      <w:r>
        <w:rPr>
          <w:rFonts w:hint="eastAsia"/>
        </w:rPr>
        <w:t>和</w:t>
      </w:r>
      <w:r>
        <w:rPr>
          <w:rFonts w:hint="eastAsia"/>
          <w:lang w:val="en-US" w:eastAsia="zh-CN"/>
        </w:rPr>
        <w:t xml:space="preserve"> </w:t>
      </w:r>
      <w:r>
        <w:rPr>
          <w:rFonts w:hint="eastAsia"/>
        </w:rPr>
        <w:t>O2</w:t>
      </w:r>
      <w:r>
        <w:t xml:space="preserve"> </w:t>
      </w:r>
      <w:r>
        <w:rPr>
          <w:rFonts w:hint="eastAsia"/>
        </w:rPr>
        <w:t>存在条件下，催化其底物甲虫萤光素氧化成氧化萤光素并发出波长是 560 nm</w:t>
      </w:r>
      <w:r>
        <w:t xml:space="preserve"> </w:t>
      </w:r>
      <w:r>
        <w:rPr>
          <w:rFonts w:hint="eastAsia"/>
        </w:rPr>
        <w:t>左右的萤光</w:t>
      </w:r>
      <w:r>
        <w:rPr>
          <w:rFonts w:hint="eastAsia"/>
          <w:lang w:eastAsia="zh-CN"/>
        </w:rPr>
        <w:t>，</w:t>
      </w:r>
      <w:r>
        <w:rPr>
          <w:rFonts w:hint="eastAsia"/>
        </w:rPr>
        <w:t>能够检测最低 10-20 mol</w:t>
      </w:r>
      <w:r>
        <w:t xml:space="preserve"> </w:t>
      </w:r>
      <w:r>
        <w:rPr>
          <w:rFonts w:hint="eastAsia"/>
        </w:rPr>
        <w:t>的萤光素酶，在 10-14</w:t>
      </w:r>
      <w:r>
        <w:t xml:space="preserve"> </w:t>
      </w:r>
      <w:r>
        <w:rPr>
          <w:rFonts w:hint="eastAsia"/>
        </w:rPr>
        <w:t>至 10-20 mol</w:t>
      </w:r>
      <w:r>
        <w:t xml:space="preserve"> </w:t>
      </w:r>
      <w:r>
        <w:rPr>
          <w:rFonts w:hint="eastAsia"/>
        </w:rPr>
        <w:t>的酶浓度范围内呈很好的线性关系。</w:t>
      </w:r>
      <w:r>
        <w:rPr>
          <w:rFonts w:hint="eastAsia"/>
          <w:lang w:val="en-US" w:eastAsia="zh-CN"/>
        </w:rPr>
        <w:t>检测结果可以</w:t>
      </w:r>
      <w:r>
        <w:rPr>
          <w:rFonts w:hint="eastAsia"/>
        </w:rPr>
        <w:t>用酶标仪的化学发光检测模块进行测定。</w:t>
      </w:r>
      <w:r>
        <w:rPr>
          <w:rFonts w:hint="eastAsia"/>
          <w:lang w:val="en-US" w:eastAsia="zh-CN"/>
        </w:rPr>
        <w:t>检测原理见图 1</w:t>
      </w:r>
    </w:p>
    <w:p w14:paraId="01235BD2">
      <w:pPr>
        <w:pStyle w:val="5"/>
        <w:bidi w:val="0"/>
        <w:jc w:val="center"/>
      </w:pPr>
      <w:r>
        <w:object>
          <v:shape id="_x0000_i1025" o:spt="75" alt="" type="#_x0000_t75" style="height:49.4pt;width:506.8pt;" o:ole="t" filled="f" o:preferrelative="t" stroked="f" coordsize="21600,21600">
            <v:path/>
            <v:fill on="f" focussize="0,0"/>
            <v:stroke on="f"/>
            <v:imagedata r:id="rId8" o:title=""/>
            <o:lock v:ext="edit" aspectratio="t"/>
            <w10:wrap type="none"/>
            <w10:anchorlock/>
          </v:shape>
          <o:OLEObject Type="Embed" ProgID="KingDrawXObject" ShapeID="_x0000_i1025" DrawAspect="Content" ObjectID="_1468075725" r:id="rId7">
            <o:LockedField>false</o:LockedField>
          </o:OLEObject>
        </w:object>
      </w:r>
    </w:p>
    <w:p w14:paraId="3BC9148E">
      <w:pPr>
        <w:pStyle w:val="5"/>
        <w:bidi w:val="0"/>
        <w:jc w:val="center"/>
        <w:rPr>
          <w:rFonts w:hint="default"/>
          <w:lang w:val="en-US" w:eastAsia="zh-CN"/>
        </w:rPr>
      </w:pPr>
      <w:bookmarkStart w:id="0" w:name="_GoBack"/>
      <w:r>
        <w:rPr>
          <w:rFonts w:hint="eastAsia"/>
          <w:lang w:val="en-US" w:eastAsia="zh-CN"/>
        </w:rPr>
        <w:t>图 1 检测原理图</w:t>
      </w:r>
    </w:p>
    <w:bookmarkEnd w:id="0"/>
    <w:p w14:paraId="3082B7A7">
      <w:pPr>
        <w:pStyle w:val="4"/>
        <w:bidi w:val="0"/>
      </w:pPr>
      <w:r>
        <w:t>应用范围</w:t>
      </w:r>
    </w:p>
    <w:p w14:paraId="316CC8AF">
      <w:pPr>
        <w:pStyle w:val="5"/>
        <w:bidi w:val="0"/>
      </w:pPr>
      <w:r>
        <w:rPr>
          <w:rFonts w:hint="eastAsia"/>
        </w:rPr>
        <w:t>真核基因表达调控</w:t>
      </w:r>
    </w:p>
    <w:p w14:paraId="7196654D">
      <w:pPr>
        <w:pStyle w:val="4"/>
        <w:bidi w:val="0"/>
        <w:rPr>
          <w:rFonts w:hint="eastAsia"/>
        </w:rPr>
      </w:pPr>
      <w:r>
        <w:rPr>
          <w:rFonts w:hint="eastAsia"/>
        </w:rPr>
        <w:t>储运条件</w:t>
      </w:r>
    </w:p>
    <w:p w14:paraId="53CE5035">
      <w:pPr>
        <w:pStyle w:val="5"/>
        <w:bidi w:val="0"/>
      </w:pPr>
      <w:r>
        <w:t xml:space="preserve">-20 ℃ </w:t>
      </w:r>
      <w:r>
        <w:rPr>
          <w:rFonts w:hint="eastAsia"/>
        </w:rPr>
        <w:t>避光保存，有效期见外包装；冰袋运输。</w:t>
      </w:r>
    </w:p>
    <w:p w14:paraId="0F9EF1A6">
      <w:pPr>
        <w:pStyle w:val="4"/>
        <w:bidi w:val="0"/>
      </w:pPr>
      <w:r>
        <w:t>产品</w:t>
      </w:r>
      <w:r>
        <w:rPr>
          <w:rFonts w:hint="eastAsia"/>
        </w:rPr>
        <w:t>特点</w:t>
      </w:r>
    </w:p>
    <w:p w14:paraId="6D712147">
      <w:pPr>
        <w:pStyle w:val="5"/>
        <w:bidi w:val="0"/>
      </w:pPr>
      <w:r>
        <w:rPr>
          <w:rFonts w:hint="eastAsia"/>
          <w:b/>
          <w:bCs/>
        </w:rPr>
        <w:t>快速</w:t>
      </w:r>
      <w:r>
        <w:rPr>
          <w:rFonts w:hint="eastAsia"/>
          <w:b/>
          <w:bCs/>
          <w:lang w:val="en-US" w:eastAsia="zh-CN"/>
        </w:rPr>
        <w:t>省时</w:t>
      </w:r>
      <w:r>
        <w:rPr>
          <w:rFonts w:hint="eastAsia"/>
          <w:b/>
          <w:bCs/>
        </w:rPr>
        <w:t>：</w:t>
      </w:r>
      <w:r>
        <w:rPr>
          <w:rFonts w:hint="eastAsia"/>
        </w:rPr>
        <w:t>细胞裂解在 10</w:t>
      </w:r>
      <w:r>
        <w:rPr>
          <w:rFonts w:hint="eastAsia"/>
          <w:lang w:val="en-US" w:eastAsia="zh-CN"/>
        </w:rPr>
        <w:t>~</w:t>
      </w:r>
      <w:r>
        <w:rPr>
          <w:rFonts w:hint="eastAsia"/>
        </w:rPr>
        <w:t>15 min</w:t>
      </w:r>
      <w:r>
        <w:t xml:space="preserve"> </w:t>
      </w:r>
      <w:r>
        <w:rPr>
          <w:rFonts w:hint="eastAsia"/>
        </w:rPr>
        <w:t>内完成；</w:t>
      </w:r>
    </w:p>
    <w:p w14:paraId="1F743704">
      <w:pPr>
        <w:pStyle w:val="5"/>
        <w:bidi w:val="0"/>
      </w:pPr>
      <w:r>
        <w:rPr>
          <w:rFonts w:hint="eastAsia"/>
          <w:b/>
          <w:bCs/>
          <w:lang w:val="en-US" w:eastAsia="zh-CN"/>
        </w:rPr>
        <w:t>操作简便捷</w:t>
      </w:r>
      <w:r>
        <w:rPr>
          <w:rFonts w:hint="eastAsia"/>
          <w:b/>
          <w:bCs/>
        </w:rPr>
        <w:t>：</w:t>
      </w:r>
      <w:r>
        <w:rPr>
          <w:rFonts w:hint="eastAsia"/>
        </w:rPr>
        <w:t>试剂易于配制，样品检测步骤简单；</w:t>
      </w:r>
    </w:p>
    <w:p w14:paraId="17C87469">
      <w:pPr>
        <w:pStyle w:val="5"/>
        <w:bidi w:val="0"/>
      </w:pPr>
      <w:r>
        <w:rPr>
          <w:rFonts w:hint="eastAsia"/>
          <w:b/>
          <w:bCs/>
        </w:rPr>
        <w:t>灵敏</w:t>
      </w:r>
      <w:r>
        <w:rPr>
          <w:rFonts w:hint="eastAsia"/>
          <w:b/>
          <w:bCs/>
          <w:lang w:val="en-US" w:eastAsia="zh-CN"/>
        </w:rPr>
        <w:t>度高</w:t>
      </w:r>
      <w:r>
        <w:rPr>
          <w:rFonts w:hint="eastAsia"/>
          <w:b/>
          <w:bCs/>
        </w:rPr>
        <w:t>：</w:t>
      </w:r>
      <w:r>
        <w:rPr>
          <w:rFonts w:hint="eastAsia"/>
        </w:rPr>
        <w:t>能够检测最低 10-20 mol</w:t>
      </w:r>
      <w:r>
        <w:t xml:space="preserve"> </w:t>
      </w:r>
      <w:r>
        <w:rPr>
          <w:rFonts w:hint="eastAsia"/>
        </w:rPr>
        <w:t>的萤光素酶；</w:t>
      </w:r>
    </w:p>
    <w:p w14:paraId="4C1E3529">
      <w:pPr>
        <w:pStyle w:val="5"/>
        <w:bidi w:val="0"/>
      </w:pPr>
      <w:r>
        <w:rPr>
          <w:rFonts w:hint="eastAsia"/>
          <w:b/>
          <w:bCs/>
        </w:rPr>
        <w:t>线性范围广：</w:t>
      </w:r>
      <w:r>
        <w:rPr>
          <w:rFonts w:hint="eastAsia"/>
        </w:rPr>
        <w:t>酶的浓度线性范围可达 8</w:t>
      </w:r>
      <w:r>
        <w:t xml:space="preserve"> </w:t>
      </w:r>
      <w:r>
        <w:rPr>
          <w:rFonts w:hint="eastAsia"/>
        </w:rPr>
        <w:t>个数量级。</w:t>
      </w:r>
    </w:p>
    <w:p w14:paraId="7DC33B8A">
      <w:pPr>
        <w:pStyle w:val="4"/>
        <w:bidi w:val="0"/>
      </w:pPr>
      <w:r>
        <w:rPr>
          <w:rFonts w:hint="eastAsia"/>
        </w:rPr>
        <w:t>注意事项</w:t>
      </w:r>
    </w:p>
    <w:p w14:paraId="380FC764">
      <w:pPr>
        <w:pStyle w:val="5"/>
        <w:bidi w:val="0"/>
      </w:pPr>
      <w:r>
        <w:rPr>
          <w:rFonts w:hint="eastAsia"/>
          <w:lang w:val="en-US" w:eastAsia="zh-CN"/>
        </w:rPr>
        <w:t>1.</w:t>
      </w:r>
      <w:r>
        <w:t>使用前请将产品瞬时离心至管底，再进行后续实验。</w:t>
      </w:r>
    </w:p>
    <w:p w14:paraId="3E4CACFC">
      <w:pPr>
        <w:pStyle w:val="5"/>
        <w:bidi w:val="0"/>
      </w:pPr>
      <w:r>
        <w:rPr>
          <w:rFonts w:hint="eastAsia"/>
          <w:lang w:val="en-US" w:eastAsia="zh-CN"/>
        </w:rPr>
        <w:t>2.</w:t>
      </w:r>
      <w:r>
        <w:rPr>
          <w:rFonts w:hint="eastAsia"/>
        </w:rPr>
        <w:t>萤火虫萤光素酶催化的生物发光的最强波长为 560 nm。请用化学发光 (Luminescen</w:t>
      </w:r>
      <w:r>
        <w:t>c</w:t>
      </w:r>
      <w:r>
        <w:rPr>
          <w:rFonts w:hint="eastAsia"/>
        </w:rPr>
        <w:t>e</w:t>
      </w:r>
      <w:r>
        <w:t xml:space="preserve">) </w:t>
      </w:r>
      <w:r>
        <w:rPr>
          <w:rFonts w:hint="eastAsia"/>
        </w:rPr>
        <w:t>模块进行检测。</w:t>
      </w:r>
    </w:p>
    <w:p w14:paraId="3D3837F2">
      <w:pPr>
        <w:pStyle w:val="5"/>
        <w:bidi w:val="0"/>
      </w:pPr>
      <w:r>
        <w:rPr>
          <w:rFonts w:hint="eastAsia"/>
          <w:lang w:val="en-US" w:eastAsia="zh-CN"/>
        </w:rPr>
        <w:t>3.</w:t>
      </w:r>
      <w:r>
        <w:rPr>
          <w:rFonts w:hint="eastAsia"/>
        </w:rPr>
        <w:t>如果单管萤光测定仪测定，每个样品与测定试剂混合后到测定前的时间应保持一致。</w:t>
      </w:r>
    </w:p>
    <w:p w14:paraId="2A3F9D8D">
      <w:pPr>
        <w:pStyle w:val="5"/>
        <w:bidi w:val="0"/>
      </w:pPr>
      <w:r>
        <w:rPr>
          <w:rFonts w:hint="eastAsia"/>
          <w:lang w:val="en-US" w:eastAsia="zh-CN"/>
        </w:rPr>
        <w:t>4.</w:t>
      </w:r>
      <w:r>
        <w:rPr>
          <w:rFonts w:hint="eastAsia"/>
        </w:rPr>
        <w:t>本产品仅限于科研，不得用于临床诊断或治疗，不得用于食品和药品，不得存放于普通住宅内。</w:t>
      </w:r>
    </w:p>
    <w:p w14:paraId="4D6DBA53">
      <w:pPr>
        <w:pStyle w:val="5"/>
        <w:bidi w:val="0"/>
      </w:pPr>
      <w:r>
        <w:rPr>
          <w:rFonts w:hint="eastAsia"/>
          <w:lang w:val="en-US" w:eastAsia="zh-CN"/>
        </w:rPr>
        <w:t>5.</w:t>
      </w:r>
      <w:r>
        <w:rPr>
          <w:rFonts w:hint="eastAsia"/>
        </w:rPr>
        <w:t>为了您的安全和健康，请穿实验服并戴一次性手套操作。</w:t>
      </w:r>
    </w:p>
    <w:p w14:paraId="5650B2B7">
      <w:pPr>
        <w:wordWrap w:val="0"/>
        <w:jc w:val="center"/>
        <w:rPr>
          <w:rFonts w:hint="eastAsia"/>
          <w:b/>
          <w:bCs/>
          <w:sz w:val="30"/>
          <w:szCs w:val="30"/>
        </w:rPr>
      </w:pPr>
    </w:p>
    <w:p w14:paraId="286F0B25">
      <w:pPr>
        <w:wordWrap w:val="0"/>
        <w:jc w:val="center"/>
        <w:rPr>
          <w:rFonts w:hint="eastAsia"/>
          <w:b/>
          <w:bCs/>
          <w:sz w:val="30"/>
          <w:szCs w:val="30"/>
        </w:rPr>
      </w:pPr>
    </w:p>
    <w:p w14:paraId="3AEB965C">
      <w:pPr>
        <w:wordWrap w:val="0"/>
        <w:jc w:val="center"/>
        <w:rPr>
          <w:rFonts w:hint="eastAsia"/>
          <w:b/>
          <w:bCs/>
          <w:sz w:val="30"/>
          <w:szCs w:val="30"/>
        </w:rPr>
      </w:pPr>
    </w:p>
    <w:p w14:paraId="62DFF23A">
      <w:pPr>
        <w:wordWrap w:val="0"/>
        <w:jc w:val="center"/>
        <w:rPr>
          <w:rFonts w:hint="eastAsia"/>
          <w:b/>
          <w:bCs/>
          <w:sz w:val="30"/>
          <w:szCs w:val="30"/>
        </w:rPr>
      </w:pPr>
    </w:p>
    <w:p w14:paraId="5CD7699D">
      <w:pPr>
        <w:pStyle w:val="4"/>
        <w:bidi w:val="0"/>
      </w:pPr>
      <w:r>
        <w:rPr>
          <w:rFonts w:hint="eastAsia"/>
        </w:rPr>
        <w:t>自备材料</w:t>
      </w:r>
    </w:p>
    <w:p w14:paraId="773DA522">
      <w:pPr>
        <w:pStyle w:val="5"/>
        <w:bidi w:val="0"/>
      </w:pPr>
      <w:r>
        <w:rPr>
          <w:rFonts w:hint="eastAsia"/>
          <w:lang w:val="en-US" w:eastAsia="zh-CN"/>
        </w:rPr>
        <w:t>1.</w:t>
      </w:r>
      <w:r>
        <w:rPr>
          <w:rFonts w:hint="eastAsia"/>
        </w:rPr>
        <w:t>耗材</w:t>
      </w:r>
    </w:p>
    <w:p w14:paraId="70B727F5">
      <w:pPr>
        <w:pStyle w:val="5"/>
        <w:bidi w:val="0"/>
      </w:pPr>
      <w:r>
        <w:rPr>
          <w:rFonts w:hint="eastAsia"/>
        </w:rPr>
        <w:t>离心管</w:t>
      </w:r>
    </w:p>
    <w:p w14:paraId="41227405">
      <w:pPr>
        <w:pStyle w:val="5"/>
        <w:bidi w:val="0"/>
      </w:pPr>
      <w:r>
        <w:rPr>
          <w:rFonts w:hint="eastAsia"/>
          <w:lang w:val="en-US" w:eastAsia="zh-CN"/>
        </w:rPr>
        <w:t>2.</w:t>
      </w:r>
      <w:r>
        <w:rPr>
          <w:rFonts w:hint="eastAsia"/>
        </w:rPr>
        <w:t>试剂</w:t>
      </w:r>
    </w:p>
    <w:p w14:paraId="6CD0951B">
      <w:pPr>
        <w:pStyle w:val="5"/>
        <w:bidi w:val="0"/>
      </w:pPr>
      <w:r>
        <w:t>1</w:t>
      </w:r>
      <w:r>
        <w:rPr>
          <w:rFonts w:hint="eastAsia"/>
          <w:lang w:val="en-US" w:eastAsia="zh-CN"/>
        </w:rPr>
        <w:t xml:space="preserve"> </w:t>
      </w:r>
      <w:r>
        <w:rPr>
          <w:rFonts w:hint="default"/>
          <w:lang w:val="en-US" w:eastAsia="zh-CN"/>
        </w:rPr>
        <w:t>×</w:t>
      </w:r>
      <w:r>
        <w:rPr>
          <w:rFonts w:hint="eastAsia"/>
          <w:lang w:val="en-US" w:eastAsia="zh-CN"/>
        </w:rPr>
        <w:t xml:space="preserve"> </w:t>
      </w:r>
      <w:r>
        <w:t>PBS</w:t>
      </w:r>
    </w:p>
    <w:p w14:paraId="325B6EA9">
      <w:pPr>
        <w:pStyle w:val="5"/>
        <w:bidi w:val="0"/>
      </w:pPr>
      <w:r>
        <w:rPr>
          <w:rFonts w:hint="eastAsia"/>
          <w:lang w:val="en-US" w:eastAsia="zh-CN"/>
        </w:rPr>
        <w:t>3.</w:t>
      </w:r>
      <w:r>
        <w:rPr>
          <w:rFonts w:hint="eastAsia"/>
        </w:rPr>
        <w:t>仪器</w:t>
      </w:r>
    </w:p>
    <w:p w14:paraId="55ED6B39">
      <w:pPr>
        <w:pStyle w:val="5"/>
        <w:bidi w:val="0"/>
      </w:pPr>
      <w:r>
        <w:rPr>
          <w:rFonts w:hint="eastAsia"/>
          <w:lang w:eastAsia="zh-CN"/>
        </w:rPr>
        <w:t>（</w:t>
      </w:r>
      <w:r>
        <w:rPr>
          <w:rFonts w:hint="eastAsia"/>
          <w:lang w:val="en-US" w:eastAsia="zh-CN"/>
        </w:rPr>
        <w:t>1</w:t>
      </w:r>
      <w:r>
        <w:rPr>
          <w:rFonts w:hint="eastAsia"/>
          <w:lang w:eastAsia="zh-CN"/>
        </w:rPr>
        <w:t>）</w:t>
      </w:r>
      <w:r>
        <w:rPr>
          <w:rFonts w:hint="eastAsia"/>
        </w:rPr>
        <w:t>微型振荡器 (</w:t>
      </w:r>
      <w:r>
        <w:t>2) 摇床</w:t>
      </w:r>
      <w:r>
        <w:rPr>
          <w:rFonts w:hint="eastAsia"/>
        </w:rPr>
        <w:t xml:space="preserve"> </w:t>
      </w:r>
      <w:r>
        <w:t>(3) 多功能酶标仪</w:t>
      </w:r>
    </w:p>
    <w:p w14:paraId="01CD6BA7">
      <w:pPr>
        <w:pStyle w:val="4"/>
        <w:bidi w:val="0"/>
      </w:pPr>
      <w:r>
        <w:rPr>
          <w:rFonts w:hint="eastAsia"/>
        </w:rPr>
        <w:t>操作</w:t>
      </w:r>
      <w:r>
        <w:t>步骤</w:t>
      </w:r>
    </w:p>
    <w:p w14:paraId="20E725AE">
      <w:pPr>
        <w:pStyle w:val="5"/>
        <w:bidi w:val="0"/>
      </w:pPr>
      <w:r>
        <w:rPr>
          <w:rFonts w:hint="eastAsia"/>
          <w:lang w:val="en-US" w:eastAsia="zh-CN"/>
        </w:rPr>
        <w:t>1.</w:t>
      </w:r>
      <w:r>
        <w:rPr>
          <w:rFonts w:hint="eastAsia"/>
        </w:rPr>
        <w:t>细胞裂解</w:t>
      </w:r>
    </w:p>
    <w:p w14:paraId="0C821DB7">
      <w:pPr>
        <w:pStyle w:val="5"/>
        <w:bidi w:val="0"/>
      </w:pPr>
      <w:r>
        <w:rPr>
          <w:rFonts w:hint="eastAsia"/>
          <w:lang w:eastAsia="zh-CN"/>
        </w:rPr>
        <w:t>（</w:t>
      </w:r>
      <w:r>
        <w:rPr>
          <w:rFonts w:hint="eastAsia"/>
          <w:lang w:val="en-US" w:eastAsia="zh-CN"/>
        </w:rPr>
        <w:t>1</w:t>
      </w:r>
      <w:r>
        <w:rPr>
          <w:rFonts w:hint="eastAsia"/>
          <w:lang w:eastAsia="zh-CN"/>
        </w:rPr>
        <w:t>）</w:t>
      </w:r>
      <w:r>
        <w:rPr>
          <w:rFonts w:hint="eastAsia"/>
        </w:rPr>
        <w:t>将转入报告基因的细胞中的培养基移除，加入 PBS</w:t>
      </w:r>
      <w:r>
        <w:t xml:space="preserve"> </w:t>
      </w:r>
      <w:r>
        <w:rPr>
          <w:rFonts w:hint="eastAsia"/>
        </w:rPr>
        <w:t>轻轻洗涤（贴壁细胞可直接进行此操作，悬浮细胞要离心收集细胞）。充分裂解按如下方案加入 1</w:t>
      </w:r>
      <w:r>
        <w:t xml:space="preserve"> ×</w:t>
      </w:r>
      <w:r>
        <w:rPr>
          <w:rFonts w:hint="eastAsia"/>
        </w:rPr>
        <w:t xml:space="preserve"> Lysis Buffer</w:t>
      </w:r>
      <w:r>
        <w:t xml:space="preserve"> </w:t>
      </w:r>
      <w:r>
        <w:rPr>
          <w:rFonts w:hint="eastAsia"/>
        </w:rPr>
        <w:t>（用无菌水按 4</w:t>
      </w:r>
      <w:r>
        <w:rPr>
          <w:rFonts w:hint="eastAsia"/>
          <w:lang w:eastAsia="zh-CN"/>
        </w:rPr>
        <w:t>：</w:t>
      </w:r>
      <w:r>
        <w:rPr>
          <w:rFonts w:hint="eastAsia"/>
        </w:rPr>
        <w:t>1</w:t>
      </w:r>
      <w:r>
        <w:t xml:space="preserve"> </w:t>
      </w:r>
      <w:r>
        <w:rPr>
          <w:rFonts w:hint="eastAsia"/>
        </w:rPr>
        <w:t>稀释 A</w:t>
      </w:r>
      <w:r>
        <w:t xml:space="preserve"> </w:t>
      </w:r>
      <w:r>
        <w:rPr>
          <w:rFonts w:hint="eastAsia"/>
        </w:rPr>
        <w:t>组分），然后将培养板放在微型震荡器上室温震荡 15 min，充分裂解细胞得到裂解产物。</w:t>
      </w:r>
    </w:p>
    <w:tbl>
      <w:tblPr>
        <w:tblStyle w:val="12"/>
        <w:tblpPr w:leftFromText="180" w:rightFromText="180" w:vertAnchor="text" w:horzAnchor="margin" w:tblpXSpec="center" w:tblpY="53"/>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1323"/>
        <w:gridCol w:w="1323"/>
        <w:gridCol w:w="1323"/>
        <w:gridCol w:w="1323"/>
        <w:gridCol w:w="1323"/>
      </w:tblGrid>
      <w:tr w14:paraId="3431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2" w:type="pct"/>
            <w:shd w:val="clear" w:color="auto" w:fill="BFBFBF"/>
            <w:vAlign w:val="center"/>
          </w:tcPr>
          <w:p w14:paraId="76516FA4">
            <w:pPr>
              <w:pStyle w:val="5"/>
              <w:bidi w:val="0"/>
              <w:jc w:val="center"/>
            </w:pPr>
            <w:r>
              <w:t>细胞培养板</w:t>
            </w:r>
          </w:p>
        </w:tc>
        <w:tc>
          <w:tcPr>
            <w:tcW w:w="833" w:type="pct"/>
            <w:shd w:val="clear" w:color="auto" w:fill="BFBFBF"/>
            <w:vAlign w:val="center"/>
          </w:tcPr>
          <w:p w14:paraId="1ACEDE59">
            <w:pPr>
              <w:pStyle w:val="5"/>
              <w:bidi w:val="0"/>
              <w:jc w:val="center"/>
            </w:pPr>
            <w:r>
              <w:t>96 孔板</w:t>
            </w:r>
          </w:p>
        </w:tc>
        <w:tc>
          <w:tcPr>
            <w:tcW w:w="833" w:type="pct"/>
            <w:shd w:val="clear" w:color="auto" w:fill="BFBFBF"/>
            <w:vAlign w:val="center"/>
          </w:tcPr>
          <w:p w14:paraId="27AE500E">
            <w:pPr>
              <w:pStyle w:val="5"/>
              <w:bidi w:val="0"/>
              <w:jc w:val="center"/>
            </w:pPr>
            <w:r>
              <w:t>48 孔板</w:t>
            </w:r>
          </w:p>
        </w:tc>
        <w:tc>
          <w:tcPr>
            <w:tcW w:w="833" w:type="pct"/>
            <w:shd w:val="clear" w:color="auto" w:fill="BFBFBF"/>
            <w:vAlign w:val="center"/>
          </w:tcPr>
          <w:p w14:paraId="7595B923">
            <w:pPr>
              <w:pStyle w:val="5"/>
              <w:bidi w:val="0"/>
              <w:jc w:val="center"/>
            </w:pPr>
            <w:r>
              <w:t>24 孔板</w:t>
            </w:r>
          </w:p>
        </w:tc>
        <w:tc>
          <w:tcPr>
            <w:tcW w:w="833" w:type="pct"/>
            <w:shd w:val="clear" w:color="auto" w:fill="BFBFBF"/>
            <w:vAlign w:val="center"/>
          </w:tcPr>
          <w:p w14:paraId="1E9C3701">
            <w:pPr>
              <w:pStyle w:val="5"/>
              <w:bidi w:val="0"/>
              <w:jc w:val="center"/>
            </w:pPr>
            <w:r>
              <w:t>12 孔板</w:t>
            </w:r>
          </w:p>
        </w:tc>
        <w:tc>
          <w:tcPr>
            <w:tcW w:w="833" w:type="pct"/>
            <w:shd w:val="clear" w:color="auto" w:fill="BFBFBF"/>
            <w:vAlign w:val="center"/>
          </w:tcPr>
          <w:p w14:paraId="3688FE33">
            <w:pPr>
              <w:pStyle w:val="5"/>
              <w:bidi w:val="0"/>
              <w:jc w:val="center"/>
            </w:pPr>
            <w:r>
              <w:t>6 孔板</w:t>
            </w:r>
          </w:p>
        </w:tc>
      </w:tr>
      <w:tr w14:paraId="6AD3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2" w:type="pct"/>
            <w:vAlign w:val="center"/>
          </w:tcPr>
          <w:p w14:paraId="7028FADD">
            <w:pPr>
              <w:pStyle w:val="5"/>
              <w:bidi w:val="0"/>
              <w:jc w:val="center"/>
            </w:pPr>
            <w:r>
              <w:t>裂解液体积</w:t>
            </w:r>
          </w:p>
        </w:tc>
        <w:tc>
          <w:tcPr>
            <w:tcW w:w="833" w:type="pct"/>
            <w:vAlign w:val="center"/>
          </w:tcPr>
          <w:p w14:paraId="02C68071">
            <w:pPr>
              <w:pStyle w:val="5"/>
              <w:bidi w:val="0"/>
              <w:jc w:val="center"/>
            </w:pPr>
            <w:r>
              <w:t>30 µL</w:t>
            </w:r>
          </w:p>
        </w:tc>
        <w:tc>
          <w:tcPr>
            <w:tcW w:w="833" w:type="pct"/>
            <w:vAlign w:val="center"/>
          </w:tcPr>
          <w:p w14:paraId="278EC5B1">
            <w:pPr>
              <w:pStyle w:val="5"/>
              <w:bidi w:val="0"/>
              <w:jc w:val="center"/>
            </w:pPr>
            <w:r>
              <w:t>60 µL</w:t>
            </w:r>
          </w:p>
        </w:tc>
        <w:tc>
          <w:tcPr>
            <w:tcW w:w="833" w:type="pct"/>
            <w:vAlign w:val="center"/>
          </w:tcPr>
          <w:p w14:paraId="770D77AA">
            <w:pPr>
              <w:pStyle w:val="5"/>
              <w:bidi w:val="0"/>
              <w:jc w:val="center"/>
            </w:pPr>
            <w:r>
              <w:t>120 µL</w:t>
            </w:r>
          </w:p>
        </w:tc>
        <w:tc>
          <w:tcPr>
            <w:tcW w:w="833" w:type="pct"/>
            <w:vAlign w:val="center"/>
          </w:tcPr>
          <w:p w14:paraId="41DF5B3A">
            <w:pPr>
              <w:pStyle w:val="5"/>
              <w:bidi w:val="0"/>
              <w:jc w:val="center"/>
            </w:pPr>
            <w:r>
              <w:t>250 µL</w:t>
            </w:r>
          </w:p>
        </w:tc>
        <w:tc>
          <w:tcPr>
            <w:tcW w:w="833" w:type="pct"/>
            <w:vAlign w:val="center"/>
          </w:tcPr>
          <w:p w14:paraId="3CB17EA2">
            <w:pPr>
              <w:pStyle w:val="5"/>
              <w:bidi w:val="0"/>
              <w:jc w:val="center"/>
            </w:pPr>
            <w:r>
              <w:t>500 µL</w:t>
            </w:r>
          </w:p>
        </w:tc>
      </w:tr>
    </w:tbl>
    <w:p w14:paraId="3405C9B0">
      <w:pPr>
        <w:pStyle w:val="5"/>
        <w:bidi w:val="0"/>
        <w:rPr>
          <w:rFonts w:hint="eastAsia"/>
        </w:rPr>
      </w:pPr>
    </w:p>
    <w:p w14:paraId="3C24444D">
      <w:pPr>
        <w:pStyle w:val="5"/>
        <w:bidi w:val="0"/>
        <w:rPr>
          <w:b/>
          <w:bCs/>
        </w:rPr>
      </w:pPr>
      <w:r>
        <w:rPr>
          <w:rFonts w:hint="eastAsia"/>
          <w:b/>
          <w:bCs/>
        </w:rPr>
        <w:t>注：裂解产物可室温保存 6 h，-70</w:t>
      </w:r>
      <w:r>
        <w:rPr>
          <w:b/>
          <w:bCs/>
        </w:rPr>
        <w:t xml:space="preserve"> ℃ </w:t>
      </w:r>
      <w:r>
        <w:rPr>
          <w:rFonts w:hint="eastAsia"/>
          <w:b/>
          <w:bCs/>
        </w:rPr>
        <w:t>可长期存放（裂解产物不能多次反复冻融）。</w:t>
      </w:r>
    </w:p>
    <w:p w14:paraId="2CEF2610">
      <w:pPr>
        <w:pStyle w:val="5"/>
        <w:bidi w:val="0"/>
      </w:pPr>
      <w:r>
        <w:rPr>
          <w:rFonts w:hint="eastAsia"/>
          <w:lang w:val="en-US" w:eastAsia="zh-CN"/>
        </w:rPr>
        <w:t>（2）</w:t>
      </w:r>
      <w:r>
        <w:rPr>
          <w:rFonts w:hint="eastAsia"/>
        </w:rPr>
        <w:t>将充分裂解后的裂解产物，10000</w:t>
      </w:r>
      <w:r>
        <w:rPr>
          <w:rFonts w:hint="eastAsia"/>
          <w:lang w:val="en-US" w:eastAsia="zh-CN"/>
        </w:rPr>
        <w:t>~</w:t>
      </w:r>
      <w:r>
        <w:rPr>
          <w:rFonts w:hint="eastAsia"/>
        </w:rPr>
        <w:t>15000 rpm</w:t>
      </w:r>
      <w:r>
        <w:t xml:space="preserve"> </w:t>
      </w:r>
      <w:r>
        <w:rPr>
          <w:rFonts w:hint="eastAsia"/>
        </w:rPr>
        <w:t>离心 3</w:t>
      </w:r>
      <w:r>
        <w:rPr>
          <w:rFonts w:hint="eastAsia"/>
          <w:lang w:val="en-US" w:eastAsia="zh-CN"/>
        </w:rPr>
        <w:t>~</w:t>
      </w:r>
      <w:r>
        <w:rPr>
          <w:rFonts w:hint="eastAsia"/>
        </w:rPr>
        <w:t>5 min，收上清。</w:t>
      </w:r>
    </w:p>
    <w:p w14:paraId="292BC8AC">
      <w:pPr>
        <w:pStyle w:val="5"/>
        <w:bidi w:val="0"/>
      </w:pPr>
      <w:r>
        <w:rPr>
          <w:rFonts w:hint="eastAsia"/>
          <w:lang w:val="en-US" w:eastAsia="zh-CN"/>
        </w:rPr>
        <w:t>2.</w:t>
      </w:r>
      <w:r>
        <w:rPr>
          <w:rFonts w:hint="eastAsia"/>
        </w:rPr>
        <w:t>工作液配制</w:t>
      </w:r>
    </w:p>
    <w:p w14:paraId="5B25C7C8">
      <w:pPr>
        <w:pStyle w:val="5"/>
        <w:bidi w:val="0"/>
      </w:pPr>
      <w:r>
        <w:rPr>
          <w:rFonts w:hint="eastAsia"/>
          <w:lang w:eastAsia="zh-CN"/>
        </w:rPr>
        <w:t>（</w:t>
      </w:r>
      <w:r>
        <w:rPr>
          <w:rFonts w:hint="eastAsia"/>
          <w:lang w:val="en-US" w:eastAsia="zh-CN"/>
        </w:rPr>
        <w:t>1</w:t>
      </w:r>
      <w:r>
        <w:rPr>
          <w:rFonts w:hint="eastAsia"/>
          <w:lang w:eastAsia="zh-CN"/>
        </w:rPr>
        <w:t>）</w:t>
      </w:r>
      <w:r>
        <w:rPr>
          <w:rFonts w:hint="eastAsia"/>
        </w:rPr>
        <w:t>将所有组分恢复至室温。</w:t>
      </w:r>
    </w:p>
    <w:p w14:paraId="69998324">
      <w:pPr>
        <w:pStyle w:val="5"/>
        <w:bidi w:val="0"/>
      </w:pPr>
      <w:r>
        <w:rPr>
          <w:rFonts w:hint="eastAsia"/>
          <w:lang w:eastAsia="zh-CN"/>
        </w:rPr>
        <w:t>（</w:t>
      </w:r>
      <w:r>
        <w:rPr>
          <w:rFonts w:hint="eastAsia"/>
          <w:lang w:val="en-US" w:eastAsia="zh-CN"/>
        </w:rPr>
        <w:t>2</w:t>
      </w:r>
      <w:r>
        <w:rPr>
          <w:rFonts w:hint="eastAsia"/>
          <w:lang w:eastAsia="zh-CN"/>
        </w:rPr>
        <w:t>）</w:t>
      </w:r>
      <w:r>
        <w:rPr>
          <w:rFonts w:hint="eastAsia"/>
        </w:rPr>
        <w:t>用</w:t>
      </w:r>
      <w:r>
        <w:rPr>
          <w:rFonts w:hint="eastAsia"/>
          <w:lang w:val="en-US" w:eastAsia="zh-CN"/>
        </w:rPr>
        <w:t xml:space="preserve"> </w:t>
      </w:r>
      <w:r>
        <w:rPr>
          <w:rFonts w:hint="eastAsia"/>
        </w:rPr>
        <w:t>B</w:t>
      </w:r>
      <w:r>
        <w:rPr>
          <w:rFonts w:hint="eastAsia"/>
          <w:lang w:val="en-US" w:eastAsia="zh-CN"/>
        </w:rPr>
        <w:t xml:space="preserve"> </w:t>
      </w:r>
      <w:r>
        <w:rPr>
          <w:rFonts w:hint="eastAsia"/>
        </w:rPr>
        <w:t>组分充分稀释 C</w:t>
      </w:r>
      <w:r>
        <w:t xml:space="preserve"> </w:t>
      </w:r>
      <w:r>
        <w:rPr>
          <w:rFonts w:hint="eastAsia"/>
        </w:rPr>
        <w:t>组分（储液），配制成 0.2 mg/mL</w:t>
      </w:r>
      <w:r>
        <w:t xml:space="preserve"> </w:t>
      </w:r>
      <w:r>
        <w:rPr>
          <w:rFonts w:hint="eastAsia"/>
        </w:rPr>
        <w:t>的萤火虫萤光素酶工作液，涡旋震荡，确保充分混匀。</w:t>
      </w:r>
    </w:p>
    <w:p w14:paraId="28219D84">
      <w:pPr>
        <w:pStyle w:val="5"/>
        <w:bidi w:val="0"/>
        <w:rPr>
          <w:b/>
          <w:bCs/>
        </w:rPr>
      </w:pPr>
      <w:r>
        <w:rPr>
          <w:rFonts w:hint="eastAsia"/>
          <w:b/>
          <w:bCs/>
        </w:rPr>
        <w:t>注：萤火虫萤光素酶工作液不能反复冻融，若单次实验用量较少，建议按单次使用量分装成小规格。</w:t>
      </w:r>
    </w:p>
    <w:p w14:paraId="58D8B1F7">
      <w:pPr>
        <w:pStyle w:val="5"/>
        <w:bidi w:val="0"/>
      </w:pPr>
      <w:r>
        <w:rPr>
          <w:rFonts w:hint="eastAsia"/>
          <w:lang w:val="en-US" w:eastAsia="zh-CN"/>
        </w:rPr>
        <w:t>3.</w:t>
      </w:r>
      <w:r>
        <w:rPr>
          <w:rFonts w:hint="eastAsia"/>
        </w:rPr>
        <w:t>化学发光值检测</w:t>
      </w:r>
    </w:p>
    <w:p w14:paraId="3D6F5FD6">
      <w:pPr>
        <w:pStyle w:val="5"/>
        <w:bidi w:val="0"/>
      </w:pPr>
      <w:r>
        <w:rPr>
          <w:rFonts w:hint="eastAsia"/>
          <w:lang w:eastAsia="zh-CN"/>
        </w:rPr>
        <w:t>（</w:t>
      </w:r>
      <w:r>
        <w:rPr>
          <w:rFonts w:hint="eastAsia"/>
          <w:lang w:val="en-US" w:eastAsia="zh-CN"/>
        </w:rPr>
        <w:t>1</w:t>
      </w:r>
      <w:r>
        <w:rPr>
          <w:rFonts w:hint="eastAsia"/>
          <w:lang w:eastAsia="zh-CN"/>
        </w:rPr>
        <w:t>）</w:t>
      </w:r>
      <w:r>
        <w:t>按仪器说明书开启具有检测化学发光功能的仪器，如多功能酶标仪。设定参数，测定时间为</w:t>
      </w:r>
      <w:r>
        <w:rPr>
          <w:rFonts w:hint="eastAsia"/>
        </w:rPr>
        <w:t xml:space="preserve"> </w:t>
      </w:r>
      <w:r>
        <w:t>10 s，测定间隔为</w:t>
      </w:r>
      <w:r>
        <w:rPr>
          <w:rFonts w:hint="eastAsia"/>
        </w:rPr>
        <w:t xml:space="preserve"> </w:t>
      </w:r>
      <w:r>
        <w:t>2 s。</w:t>
      </w:r>
    </w:p>
    <w:p w14:paraId="0830161D">
      <w:pPr>
        <w:pStyle w:val="5"/>
        <w:bidi w:val="0"/>
      </w:pPr>
      <w:r>
        <w:rPr>
          <w:rFonts w:hint="eastAsia"/>
          <w:lang w:eastAsia="zh-CN"/>
        </w:rPr>
        <w:t>（</w:t>
      </w:r>
      <w:r>
        <w:rPr>
          <w:rFonts w:hint="eastAsia"/>
          <w:lang w:val="en-US" w:eastAsia="zh-CN"/>
        </w:rPr>
        <w:t>2</w:t>
      </w:r>
      <w:r>
        <w:rPr>
          <w:rFonts w:hint="eastAsia"/>
          <w:lang w:eastAsia="zh-CN"/>
        </w:rPr>
        <w:t>）</w:t>
      </w:r>
      <w:r>
        <w:rPr>
          <w:rFonts w:hint="eastAsia"/>
        </w:rPr>
        <w:t>将细胞裂解产物按照 20~100 µL</w:t>
      </w:r>
      <w:r>
        <w:t xml:space="preserve"> </w:t>
      </w:r>
      <w:r>
        <w:rPr>
          <w:rFonts w:hint="eastAsia"/>
        </w:rPr>
        <w:t>的体积加入测量管中（保持每次样品量一致）。1</w:t>
      </w:r>
      <w:r>
        <w:t xml:space="preserve"> ×</w:t>
      </w:r>
      <w:r>
        <w:rPr>
          <w:rFonts w:hint="eastAsia"/>
        </w:rPr>
        <w:t xml:space="preserve"> Lysis Buffer</w:t>
      </w:r>
      <w:r>
        <w:rPr>
          <w:rFonts w:hint="eastAsia"/>
          <w:lang w:val="en-US" w:eastAsia="zh-CN"/>
        </w:rPr>
        <w:t xml:space="preserve"> </w:t>
      </w:r>
      <w:r>
        <w:rPr>
          <w:rFonts w:hint="eastAsia"/>
        </w:rPr>
        <w:t>为空白对照。</w:t>
      </w:r>
    </w:p>
    <w:p w14:paraId="79103249">
      <w:pPr>
        <w:pStyle w:val="5"/>
        <w:bidi w:val="0"/>
      </w:pPr>
      <w:r>
        <w:rPr>
          <w:rFonts w:hint="eastAsia"/>
          <w:lang w:eastAsia="zh-CN"/>
        </w:rPr>
        <w:t>（</w:t>
      </w:r>
      <w:r>
        <w:rPr>
          <w:rFonts w:hint="eastAsia"/>
          <w:lang w:val="en-US" w:eastAsia="zh-CN"/>
        </w:rPr>
        <w:t>3</w:t>
      </w:r>
      <w:r>
        <w:rPr>
          <w:rFonts w:hint="eastAsia"/>
          <w:lang w:eastAsia="zh-CN"/>
        </w:rPr>
        <w:t>）</w:t>
      </w:r>
      <w:r>
        <w:rPr>
          <w:rFonts w:hint="eastAsia"/>
        </w:rPr>
        <w:t>加入 100 µL</w:t>
      </w:r>
      <w:r>
        <w:t xml:space="preserve"> </w:t>
      </w:r>
      <w:r>
        <w:rPr>
          <w:rFonts w:hint="eastAsia"/>
        </w:rPr>
        <w:t>萤火虫萤光素酶检测液，测定 RLU (Relative light unit)（建议酶标仪设置 Shaking</w:t>
      </w:r>
      <w:r>
        <w:rPr>
          <w:rFonts w:hint="eastAsia"/>
          <w:lang w:val="en-US" w:eastAsia="zh-CN"/>
        </w:rPr>
        <w:t xml:space="preserve"> </w:t>
      </w:r>
      <w:r>
        <w:rPr>
          <w:rFonts w:hint="eastAsia"/>
        </w:rPr>
        <w:t>混匀功能）。</w:t>
      </w:r>
    </w:p>
    <w:p w14:paraId="7FEA2E5B">
      <w:pPr>
        <w:pStyle w:val="5"/>
        <w:bidi w:val="0"/>
        <w:rPr>
          <w:b/>
          <w:bCs/>
        </w:rPr>
      </w:pPr>
      <w:r>
        <w:rPr>
          <w:rFonts w:hint="eastAsia"/>
          <w:b/>
          <w:bCs/>
        </w:rPr>
        <w:t>注：步骤 3</w:t>
      </w:r>
      <w:r>
        <w:rPr>
          <w:b/>
          <w:bCs/>
        </w:rPr>
        <w:t xml:space="preserve"> </w:t>
      </w:r>
      <w:r>
        <w:rPr>
          <w:rFonts w:hint="eastAsia"/>
          <w:b/>
          <w:bCs/>
        </w:rPr>
        <w:t>的化学发光为瞬时发光，请先打开酶标仪并设置好参数后，建议用排枪加入萤光素酶工作液，并立即进行检测。</w:t>
      </w:r>
    </w:p>
    <w:p w14:paraId="472DB35C"/>
    <w:p w14:paraId="20BB0F1D">
      <w:pPr>
        <w:wordWrap w:val="0"/>
        <w:jc w:val="center"/>
        <w:rPr>
          <w:rFonts w:hint="eastAsia"/>
          <w:b/>
          <w:bCs/>
          <w:sz w:val="30"/>
          <w:szCs w:val="30"/>
        </w:rPr>
      </w:pPr>
    </w:p>
    <w:sectPr>
      <w:headerReference r:id="rId3" w:type="default"/>
      <w:footerReference r:id="rId4" w:type="default"/>
      <w:footerReference r:id="rId5" w:type="even"/>
      <w:pgSz w:w="11906" w:h="16838"/>
      <w:pgMar w:top="1276" w:right="566" w:bottom="862" w:left="720" w:header="709" w:footer="783" w:gutter="0"/>
      <w:pgNumType w:fmt="upperRoman"/>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YaHei">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embedRegular r:id="rId1" w:fontKey="{CC54CEE5-B647-4DEE-A2ED-2BB5415A30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F5EC1">
    <w:pPr>
      <w:pStyle w:val="9"/>
      <w:tabs>
        <w:tab w:val="clear" w:pos="4153"/>
        <w:tab w:val="clear" w:pos="8306"/>
      </w:tabs>
      <w:rPr>
        <w:rFonts w:asciiTheme="minorEastAsia" w:hAnsiTheme="minorEastAsia" w:eastAsiaTheme="minorEastAsia"/>
        <w:color w:val="FF0000"/>
      </w:rPr>
    </w:pPr>
    <w:r>
      <w:rPr>
        <w:rFonts w:asciiTheme="minorEastAsia" w:hAnsiTheme="minorEastAsia" w:eastAsiaTheme="minorEastAsia"/>
        <w:color w:val="FF0000"/>
      </w:rPr>
      <w:drawing>
        <wp:anchor distT="0" distB="0" distL="114300" distR="114300" simplePos="0" relativeHeight="251661312" behindDoc="0" locked="0" layoutInCell="1" allowOverlap="1">
          <wp:simplePos x="0" y="0"/>
          <wp:positionH relativeFrom="column">
            <wp:posOffset>-438785</wp:posOffset>
          </wp:positionH>
          <wp:positionV relativeFrom="paragraph">
            <wp:posOffset>316230</wp:posOffset>
          </wp:positionV>
          <wp:extent cx="7536180" cy="270510"/>
          <wp:effectExtent l="0" t="0" r="0" b="0"/>
          <wp:wrapNone/>
          <wp:docPr id="15865981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598148"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36079" cy="270362"/>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D1C93">
    <w:pPr>
      <w:pStyle w:val="9"/>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462DD9EB">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E1FE2">
    <w:pPr>
      <w:pStyle w:val="10"/>
      <w:pBdr>
        <w:bottom w:val="none" w:color="auto" w:sz="0" w:space="0"/>
      </w:pBdr>
      <w:tabs>
        <w:tab w:val="right" w:pos="9540"/>
        <w:tab w:val="clear" w:pos="8306"/>
      </w:tabs>
    </w:pPr>
    <w:r>
      <mc:AlternateContent>
        <mc:Choice Requires="wps">
          <w:drawing>
            <wp:anchor distT="0" distB="0" distL="114300" distR="114300" simplePos="0" relativeHeight="251659264" behindDoc="0" locked="0" layoutInCell="1" allowOverlap="1">
              <wp:simplePos x="0" y="0"/>
              <wp:positionH relativeFrom="column">
                <wp:posOffset>-330200</wp:posOffset>
              </wp:positionH>
              <wp:positionV relativeFrom="paragraph">
                <wp:posOffset>-292735</wp:posOffset>
              </wp:positionV>
              <wp:extent cx="3200400" cy="485775"/>
              <wp:effectExtent l="0" t="0" r="0" b="9525"/>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3200400" cy="485775"/>
                      </a:xfrm>
                      <a:prstGeom prst="rect">
                        <a:avLst/>
                      </a:prstGeom>
                      <a:noFill/>
                      <a:ln>
                        <a:noFill/>
                      </a:ln>
                      <a:effectLst/>
                    </wps:spPr>
                    <wps:txbx>
                      <w:txbxContent>
                        <w:p w14:paraId="1D5FC5EB">
                          <w:pPr>
                            <w:spacing w:line="200" w:lineRule="exact"/>
                            <w:jc w:val="left"/>
                            <w:rPr>
                              <w:rFonts w:asciiTheme="minorEastAsia" w:hAnsiTheme="minorEastAsia" w:eastAsiaTheme="minorEastAsia"/>
                              <w:b/>
                              <w:color w:val="FFFFFF" w:themeColor="background1"/>
                              <w14:textFill>
                                <w14:solidFill>
                                  <w14:schemeClr w14:val="bg1"/>
                                </w14:solidFill>
                              </w14:textFill>
                            </w:rPr>
                          </w:pPr>
                          <w:r>
                            <w:rPr>
                              <w:rFonts w:asciiTheme="minorEastAsia" w:hAnsiTheme="minorEastAsia" w:eastAsiaTheme="minorEastAsia"/>
                              <w:color w:val="FFFFFF" w:themeColor="background1"/>
                              <w14:textFill>
                                <w14:solidFill>
                                  <w14:schemeClr w14:val="bg1"/>
                                </w14:solidFill>
                              </w14:textFill>
                            </w:rPr>
                            <w:t>Hot line:400-086-2158</w:t>
                          </w:r>
                          <w:r>
                            <w:rPr>
                              <w:rFonts w:asciiTheme="minorEastAsia" w:hAnsiTheme="minorEastAsia" w:eastAsiaTheme="minorEastAsia"/>
                              <w:color w:val="FFFFFF" w:themeColor="background1"/>
                              <w14:textFill>
                                <w14:solidFill>
                                  <w14:schemeClr w14:val="bg1"/>
                                </w14:solidFill>
                              </w14:textFill>
                            </w:rPr>
                            <w:br w:type="textWrapping"/>
                          </w:r>
                          <w:r>
                            <w:rPr>
                              <w:rFonts w:asciiTheme="minorEastAsia" w:hAnsiTheme="minorEastAsia" w:eastAsiaTheme="minorEastAsia"/>
                              <w:color w:val="FFFFFF" w:themeColor="background1"/>
                              <w14:textFill>
                                <w14:solidFill>
                                  <w14:schemeClr w14:val="bg1"/>
                                </w14:solidFill>
                              </w14:textFill>
                            </w:rPr>
                            <w:t>https://www.med-life.cn</w:t>
                          </w:r>
                          <w:r>
                            <w:rPr>
                              <w:rFonts w:asciiTheme="minorEastAsia" w:hAnsiTheme="minorEastAsia" w:eastAsiaTheme="minorEastAsia"/>
                              <w:color w:val="FFFFFF" w:themeColor="background1"/>
                              <w14:textFill>
                                <w14:solidFill>
                                  <w14:schemeClr w14:val="bg1"/>
                                </w14:solidFill>
                              </w14:textFill>
                            </w:rPr>
                            <w:br w:type="textWrapping"/>
                          </w:r>
                          <w:r>
                            <w:rPr>
                              <w:rFonts w:asciiTheme="minorEastAsia" w:hAnsiTheme="minorEastAsia" w:eastAsiaTheme="minorEastAsia"/>
                              <w:color w:val="FFFFFF" w:themeColor="background1"/>
                              <w14:textFill>
                                <w14:solidFill>
                                  <w14:schemeClr w14:val="bg1"/>
                                </w14:solidFill>
                              </w14:textFill>
                            </w:rPr>
                            <w:t>Shanghai Medlife Pharm&amp;Tech Co.,Ltd.</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6pt;margin-top:-23.05pt;height:38.25pt;width:252pt;z-index:251659264;mso-width-relative:page;mso-height-relative:page;" filled="f" stroked="f" coordsize="21600,21600" o:gfxdata="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FQdRNcAAAAKAQAADwAAAAAAAAABACAAAAAi&#10;AAAAZHJzL2Rvd25yZXYueG1sUEsBAhQAFAAAAAgAh07iQPvNTeULAgAAIgQAAA4AAAAAAAAAAQAg&#10;AAAAJgEAAGRycy9lMm9Eb2MueG1sUEsFBgAAAAAGAAYAWQEAAKMFAAAAAA==&#10;">
              <v:fill on="f" focussize="0,0"/>
              <v:stroke on="f"/>
              <v:imagedata o:title=""/>
              <o:lock v:ext="edit" aspectratio="f"/>
              <v:textbox>
                <w:txbxContent>
                  <w:p w14:paraId="1D5FC5EB">
                    <w:pPr>
                      <w:spacing w:line="200" w:lineRule="exact"/>
                      <w:jc w:val="left"/>
                      <w:rPr>
                        <w:rFonts w:asciiTheme="minorEastAsia" w:hAnsiTheme="minorEastAsia" w:eastAsiaTheme="minorEastAsia"/>
                        <w:b/>
                        <w:color w:val="FFFFFF" w:themeColor="background1"/>
                        <w14:textFill>
                          <w14:solidFill>
                            <w14:schemeClr w14:val="bg1"/>
                          </w14:solidFill>
                        </w14:textFill>
                      </w:rPr>
                    </w:pPr>
                    <w:r>
                      <w:rPr>
                        <w:rFonts w:asciiTheme="minorEastAsia" w:hAnsiTheme="minorEastAsia" w:eastAsiaTheme="minorEastAsia"/>
                        <w:color w:val="FFFFFF" w:themeColor="background1"/>
                        <w14:textFill>
                          <w14:solidFill>
                            <w14:schemeClr w14:val="bg1"/>
                          </w14:solidFill>
                        </w14:textFill>
                      </w:rPr>
                      <w:t>Hot line:400-086-2158</w:t>
                    </w:r>
                    <w:r>
                      <w:rPr>
                        <w:rFonts w:asciiTheme="minorEastAsia" w:hAnsiTheme="minorEastAsia" w:eastAsiaTheme="minorEastAsia"/>
                        <w:color w:val="FFFFFF" w:themeColor="background1"/>
                        <w14:textFill>
                          <w14:solidFill>
                            <w14:schemeClr w14:val="bg1"/>
                          </w14:solidFill>
                        </w14:textFill>
                      </w:rPr>
                      <w:br w:type="textWrapping"/>
                    </w:r>
                    <w:r>
                      <w:rPr>
                        <w:rFonts w:asciiTheme="minorEastAsia" w:hAnsiTheme="minorEastAsia" w:eastAsiaTheme="minorEastAsia"/>
                        <w:color w:val="FFFFFF" w:themeColor="background1"/>
                        <w14:textFill>
                          <w14:solidFill>
                            <w14:schemeClr w14:val="bg1"/>
                          </w14:solidFill>
                        </w14:textFill>
                      </w:rPr>
                      <w:t>https://www.med-life.cn</w:t>
                    </w:r>
                    <w:r>
                      <w:rPr>
                        <w:rFonts w:asciiTheme="minorEastAsia" w:hAnsiTheme="minorEastAsia" w:eastAsiaTheme="minorEastAsia"/>
                        <w:color w:val="FFFFFF" w:themeColor="background1"/>
                        <w14:textFill>
                          <w14:solidFill>
                            <w14:schemeClr w14:val="bg1"/>
                          </w14:solidFill>
                        </w14:textFill>
                      </w:rPr>
                      <w:br w:type="textWrapping"/>
                    </w:r>
                    <w:r>
                      <w:rPr>
                        <w:rFonts w:asciiTheme="minorEastAsia" w:hAnsiTheme="minorEastAsia" w:eastAsiaTheme="minorEastAsia"/>
                        <w:color w:val="FFFFFF" w:themeColor="background1"/>
                        <w14:textFill>
                          <w14:solidFill>
                            <w14:schemeClr w14:val="bg1"/>
                          </w14:solidFill>
                        </w14:textFill>
                      </w:rPr>
                      <w:t>Shanghai Medlife Pharm&amp;Tech Co.,Ltd.</w:t>
                    </w:r>
                  </w:p>
                </w:txbxContent>
              </v:textbox>
            </v:shape>
          </w:pict>
        </mc:Fallback>
      </mc:AlternateContent>
    </w:r>
    <w:r>
      <w:drawing>
        <wp:anchor distT="0" distB="0" distL="114300" distR="114300" simplePos="0" relativeHeight="251660288" behindDoc="1" locked="0" layoutInCell="1" allowOverlap="1">
          <wp:simplePos x="0" y="0"/>
          <wp:positionH relativeFrom="column">
            <wp:posOffset>-480695</wp:posOffset>
          </wp:positionH>
          <wp:positionV relativeFrom="paragraph">
            <wp:posOffset>-462280</wp:posOffset>
          </wp:positionV>
          <wp:extent cx="7576820" cy="655320"/>
          <wp:effectExtent l="0" t="0" r="5080" b="0"/>
          <wp:wrapNone/>
          <wp:docPr id="16646986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98619"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6820" cy="6553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408A9"/>
    <w:multiLevelType w:val="singleLevel"/>
    <w:tmpl w:val="8A1408A9"/>
    <w:lvl w:ilvl="0" w:tentative="0">
      <w:start w:val="1"/>
      <w:numFmt w:val="chineseCounting"/>
      <w:pStyle w:val="3"/>
      <w:suff w:val="nothing"/>
      <w:lvlText w:val="%1、"/>
      <w:lvlJc w:val="left"/>
      <w:pPr>
        <w:ind w:left="0" w:firstLine="420"/>
      </w:pPr>
      <w:rPr>
        <w:rFonts w:hint="eastAsia"/>
      </w:rPr>
    </w:lvl>
  </w:abstractNum>
  <w:abstractNum w:abstractNumId="1">
    <w:nsid w:val="BACD8519"/>
    <w:multiLevelType w:val="singleLevel"/>
    <w:tmpl w:val="BACD8519"/>
    <w:lvl w:ilvl="0" w:tentative="0">
      <w:start w:val="1"/>
      <w:numFmt w:val="decimal"/>
      <w:pStyle w:val="6"/>
      <w:suff w:val="space"/>
      <w:lvlText w:val="%1)"/>
      <w:lvlJc w:val="left"/>
      <w:pPr>
        <w:tabs>
          <w:tab w:val="left" w:pos="420"/>
        </w:tabs>
        <w:ind w:left="425" w:hanging="425"/>
      </w:pPr>
      <w:rPr>
        <w:rFonts w:hint="default"/>
      </w:rPr>
    </w:lvl>
  </w:abstractNum>
  <w:abstractNum w:abstractNumId="2">
    <w:nsid w:val="51ECF64B"/>
    <w:multiLevelType w:val="singleLevel"/>
    <w:tmpl w:val="51ECF64B"/>
    <w:lvl w:ilvl="0" w:tentative="0">
      <w:start w:val="1"/>
      <w:numFmt w:val="upperLetter"/>
      <w:pStyle w:val="7"/>
      <w:suff w:val="space"/>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31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iM2Q1ZmRkMTRkNTI0Y2Q5M2FiZjQ5NTkzZjI1NDEifQ=="/>
  </w:docVars>
  <w:rsids>
    <w:rsidRoot w:val="00CE7865"/>
    <w:rsid w:val="000070A8"/>
    <w:rsid w:val="00021788"/>
    <w:rsid w:val="00027551"/>
    <w:rsid w:val="00035D90"/>
    <w:rsid w:val="0003719E"/>
    <w:rsid w:val="00041EC5"/>
    <w:rsid w:val="000718F8"/>
    <w:rsid w:val="00092656"/>
    <w:rsid w:val="000978CC"/>
    <w:rsid w:val="000B2F11"/>
    <w:rsid w:val="000F5F5B"/>
    <w:rsid w:val="00170568"/>
    <w:rsid w:val="00183CEC"/>
    <w:rsid w:val="00191B89"/>
    <w:rsid w:val="001A253D"/>
    <w:rsid w:val="001B7CB7"/>
    <w:rsid w:val="001E016C"/>
    <w:rsid w:val="0021768F"/>
    <w:rsid w:val="00217F17"/>
    <w:rsid w:val="002219E1"/>
    <w:rsid w:val="00223B05"/>
    <w:rsid w:val="00226722"/>
    <w:rsid w:val="00253AE2"/>
    <w:rsid w:val="002C6A4F"/>
    <w:rsid w:val="002C736C"/>
    <w:rsid w:val="0030184A"/>
    <w:rsid w:val="0031469D"/>
    <w:rsid w:val="003739E9"/>
    <w:rsid w:val="0039276C"/>
    <w:rsid w:val="003A41D1"/>
    <w:rsid w:val="003A7B18"/>
    <w:rsid w:val="003C0A5A"/>
    <w:rsid w:val="003D115B"/>
    <w:rsid w:val="003E015A"/>
    <w:rsid w:val="003F0FD0"/>
    <w:rsid w:val="0040369E"/>
    <w:rsid w:val="00405C06"/>
    <w:rsid w:val="004071E5"/>
    <w:rsid w:val="00431361"/>
    <w:rsid w:val="00446C6E"/>
    <w:rsid w:val="00477B4E"/>
    <w:rsid w:val="004B30BB"/>
    <w:rsid w:val="004D1D95"/>
    <w:rsid w:val="004D403F"/>
    <w:rsid w:val="004F7C87"/>
    <w:rsid w:val="005220E0"/>
    <w:rsid w:val="005339F1"/>
    <w:rsid w:val="005456D7"/>
    <w:rsid w:val="00577DAD"/>
    <w:rsid w:val="005824CB"/>
    <w:rsid w:val="006332CE"/>
    <w:rsid w:val="00634BDA"/>
    <w:rsid w:val="00655F29"/>
    <w:rsid w:val="0068466E"/>
    <w:rsid w:val="006A6928"/>
    <w:rsid w:val="0072157F"/>
    <w:rsid w:val="007263D3"/>
    <w:rsid w:val="00733580"/>
    <w:rsid w:val="00764857"/>
    <w:rsid w:val="00785378"/>
    <w:rsid w:val="00786D51"/>
    <w:rsid w:val="00786FA1"/>
    <w:rsid w:val="007A7648"/>
    <w:rsid w:val="007E25BF"/>
    <w:rsid w:val="008023CA"/>
    <w:rsid w:val="0085471F"/>
    <w:rsid w:val="00865BE6"/>
    <w:rsid w:val="00886636"/>
    <w:rsid w:val="008C1F89"/>
    <w:rsid w:val="00943F4F"/>
    <w:rsid w:val="00973562"/>
    <w:rsid w:val="009C4D9F"/>
    <w:rsid w:val="009E4994"/>
    <w:rsid w:val="00A0435C"/>
    <w:rsid w:val="00A360F0"/>
    <w:rsid w:val="00A753C4"/>
    <w:rsid w:val="00A9307A"/>
    <w:rsid w:val="00AF1251"/>
    <w:rsid w:val="00B30E50"/>
    <w:rsid w:val="00B321E0"/>
    <w:rsid w:val="00B50907"/>
    <w:rsid w:val="00B62EDB"/>
    <w:rsid w:val="00BA2801"/>
    <w:rsid w:val="00BC5092"/>
    <w:rsid w:val="00BC7E8A"/>
    <w:rsid w:val="00C02F3D"/>
    <w:rsid w:val="00C93587"/>
    <w:rsid w:val="00CA7C6E"/>
    <w:rsid w:val="00CC0D9F"/>
    <w:rsid w:val="00CE7865"/>
    <w:rsid w:val="00D2354F"/>
    <w:rsid w:val="00D265C5"/>
    <w:rsid w:val="00D42065"/>
    <w:rsid w:val="00D72817"/>
    <w:rsid w:val="00D73B01"/>
    <w:rsid w:val="00DC7941"/>
    <w:rsid w:val="00DE0971"/>
    <w:rsid w:val="00E31019"/>
    <w:rsid w:val="00E670DF"/>
    <w:rsid w:val="00E8471A"/>
    <w:rsid w:val="00E90B2B"/>
    <w:rsid w:val="00EB71AA"/>
    <w:rsid w:val="00EC35BA"/>
    <w:rsid w:val="00EE025B"/>
    <w:rsid w:val="00EE66F4"/>
    <w:rsid w:val="00F10DD1"/>
    <w:rsid w:val="00F11775"/>
    <w:rsid w:val="00F26221"/>
    <w:rsid w:val="00F6057D"/>
    <w:rsid w:val="00FA5D32"/>
    <w:rsid w:val="00FB2CB0"/>
    <w:rsid w:val="00FD1CC8"/>
    <w:rsid w:val="00FD748E"/>
    <w:rsid w:val="05565BA8"/>
    <w:rsid w:val="08D812C4"/>
    <w:rsid w:val="134C7FDB"/>
    <w:rsid w:val="1A1F45D2"/>
    <w:rsid w:val="37966940"/>
    <w:rsid w:val="3DA4417D"/>
    <w:rsid w:val="41474DF5"/>
    <w:rsid w:val="4BF56871"/>
    <w:rsid w:val="4CE04FBA"/>
    <w:rsid w:val="619F44AE"/>
    <w:rsid w:val="65B20DAF"/>
    <w:rsid w:val="767A5F05"/>
    <w:rsid w:val="7B237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200" w:after="100"/>
      <w:outlineLvl w:val="0"/>
    </w:pPr>
    <w:rPr>
      <w:b/>
      <w:sz w:val="24"/>
    </w:rPr>
  </w:style>
  <w:style w:type="paragraph" w:styleId="3">
    <w:name w:val="heading 2"/>
    <w:basedOn w:val="1"/>
    <w:next w:val="1"/>
    <w:link w:val="23"/>
    <w:unhideWhenUsed/>
    <w:qFormat/>
    <w:uiPriority w:val="0"/>
    <w:pPr>
      <w:keepNext/>
      <w:keepLines/>
      <w:numPr>
        <w:ilvl w:val="0"/>
        <w:numId w:val="1"/>
      </w:numPr>
      <w:ind w:left="482" w:hanging="482" w:hangingChars="200"/>
      <w:outlineLvl w:val="1"/>
    </w:pPr>
  </w:style>
  <w:style w:type="paragraph" w:styleId="4">
    <w:name w:val="heading 4"/>
    <w:basedOn w:val="1"/>
    <w:next w:val="1"/>
    <w:unhideWhenUsed/>
    <w:qFormat/>
    <w:uiPriority w:val="0"/>
    <w:pPr>
      <w:keepNext/>
      <w:keepLines/>
      <w:numPr>
        <w:ilvl w:val="0"/>
        <w:numId w:val="0"/>
      </w:numPr>
      <w:spacing w:line="360" w:lineRule="auto"/>
      <w:ind w:left="0" w:firstLine="0" w:firstLineChars="0"/>
      <w:outlineLvl w:val="3"/>
    </w:pPr>
    <w:rPr>
      <w:rFonts w:eastAsia="微软雅黑"/>
      <w:b/>
    </w:rPr>
  </w:style>
  <w:style w:type="paragraph" w:styleId="5">
    <w:name w:val="heading 5"/>
    <w:basedOn w:val="1"/>
    <w:next w:val="1"/>
    <w:unhideWhenUsed/>
    <w:qFormat/>
    <w:uiPriority w:val="0"/>
    <w:pPr>
      <w:keepNext/>
      <w:keepLines/>
      <w:numPr>
        <w:ilvl w:val="0"/>
        <w:numId w:val="0"/>
      </w:numPr>
      <w:tabs>
        <w:tab w:val="left" w:pos="420"/>
      </w:tabs>
      <w:ind w:left="0" w:firstLine="0" w:firstLineChars="0"/>
      <w:outlineLvl w:val="4"/>
    </w:pPr>
    <w:rPr>
      <w:rFonts w:eastAsia="微软雅黑"/>
      <w:sz w:val="18"/>
    </w:rPr>
  </w:style>
  <w:style w:type="paragraph" w:styleId="6">
    <w:name w:val="heading 6"/>
    <w:basedOn w:val="1"/>
    <w:next w:val="1"/>
    <w:unhideWhenUsed/>
    <w:qFormat/>
    <w:uiPriority w:val="0"/>
    <w:pPr>
      <w:keepNext/>
      <w:keepLines/>
      <w:numPr>
        <w:ilvl w:val="0"/>
        <w:numId w:val="2"/>
      </w:numPr>
      <w:ind w:left="301" w:hanging="301" w:hangingChars="125"/>
      <w:outlineLvl w:val="5"/>
    </w:pPr>
  </w:style>
  <w:style w:type="paragraph" w:styleId="7">
    <w:name w:val="heading 7"/>
    <w:basedOn w:val="1"/>
    <w:next w:val="1"/>
    <w:unhideWhenUsed/>
    <w:qFormat/>
    <w:uiPriority w:val="0"/>
    <w:pPr>
      <w:keepNext/>
      <w:keepLines/>
      <w:numPr>
        <w:ilvl w:val="0"/>
        <w:numId w:val="3"/>
      </w:numPr>
      <w:ind w:left="361" w:hanging="361" w:hangingChars="150"/>
      <w:outlineLvl w:val="6"/>
    </w:p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1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17">
    <w:name w:val="无格式表格 41"/>
    <w:basedOn w:val="11"/>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8">
    <w:name w:val="批注框文本 字符"/>
    <w:basedOn w:val="13"/>
    <w:link w:val="8"/>
    <w:qFormat/>
    <w:uiPriority w:val="0"/>
    <w:rPr>
      <w:kern w:val="2"/>
      <w:sz w:val="18"/>
      <w:szCs w:val="18"/>
    </w:rPr>
  </w:style>
  <w:style w:type="table" w:customStyle="1" w:styleId="19">
    <w:name w:val="网格型3"/>
    <w:basedOn w:val="11"/>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0">
    <w:name w:val="font31"/>
    <w:basedOn w:val="13"/>
    <w:qFormat/>
    <w:uiPriority w:val="0"/>
    <w:rPr>
      <w:rFonts w:ascii="黑体" w:hAnsi="宋体" w:eastAsia="黑体" w:cs="黑体"/>
      <w:color w:val="000000"/>
      <w:sz w:val="24"/>
      <w:szCs w:val="24"/>
      <w:u w:val="none"/>
    </w:rPr>
  </w:style>
  <w:style w:type="character" w:customStyle="1" w:styleId="21">
    <w:name w:val="fontstyle01"/>
    <w:basedOn w:val="13"/>
    <w:qFormat/>
    <w:uiPriority w:val="0"/>
    <w:rPr>
      <w:rFonts w:hint="default" w:ascii="MicrosoftYaHei" w:hAnsi="MicrosoftYaHei"/>
      <w:color w:val="231F20"/>
      <w:sz w:val="18"/>
      <w:szCs w:val="18"/>
    </w:rPr>
  </w:style>
  <w:style w:type="paragraph" w:styleId="22">
    <w:name w:val="List Paragraph"/>
    <w:basedOn w:val="1"/>
    <w:qFormat/>
    <w:uiPriority w:val="34"/>
    <w:pPr>
      <w:ind w:firstLine="420" w:firstLineChars="200"/>
    </w:pPr>
  </w:style>
  <w:style w:type="character" w:customStyle="1" w:styleId="23">
    <w:name w:val="标题 2 Char"/>
    <w:link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4CCAD-303D-45F6-9BBE-6AFF467CD72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Words>
  <Characters>18</Characters>
  <Lines>1</Lines>
  <Paragraphs>1</Paragraphs>
  <TotalTime>4</TotalTime>
  <ScaleCrop>false</ScaleCrop>
  <LinksUpToDate>false</LinksUpToDate>
  <CharactersWithSpaces>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2024-06-20T10:29:00Z</dcterms:created>
  <dc:creator>创赛集团</dc:creator>
  <cp:lastModifiedBy>Jenny</cp:lastModifiedBy>
  <cp:lastPrinted>2020-09-23T09:13:00Z</cp:lastPrinted>
  <dcterms:modified xsi:type="dcterms:W3CDTF">2025-08-18T05:35:34Z</dcterms:modified>
  <dc:title>InquiryForm</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116DD5CC33224EF7AD887D243D7980FF_13</vt:lpwstr>
  </property>
  <property fmtid="{D5CDD505-2E9C-101B-9397-08002B2CF9AE}" pid="4" name="KSOTemplateDocerSaveRecord">
    <vt:lpwstr>eyJoZGlkIjoiN2ZhZTM3NWUxMzNhNzdjNTZjZDVlYTA4NDVmMzlhODYiLCJ1c2VySWQiOiIzMTkwMDg0ODkifQ==</vt:lpwstr>
  </property>
</Properties>
</file>